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96F1" w14:textId="37B63C9D" w:rsidR="707DDC20" w:rsidRDefault="0039336F">
      <w:r>
        <w:t>As part of our school vision, Brook 6</w:t>
      </w:r>
      <w:r w:rsidRPr="0039336F">
        <w:rPr>
          <w:vertAlign w:val="superscript"/>
        </w:rPr>
        <w:t>th</w:t>
      </w:r>
      <w:r>
        <w:t xml:space="preserve"> </w:t>
      </w:r>
      <w:r w:rsidR="707DDC20">
        <w:t>Form and Academ</w:t>
      </w:r>
      <w:r w:rsidR="664717AF">
        <w:t>y</w:t>
      </w:r>
      <w:r>
        <w:t xml:space="preserve"> are committed to ensuring that all Year 13 students progress to excellent next steps destinations, either university or </w:t>
      </w:r>
      <w:r w:rsidR="00374574">
        <w:t>an apprenticeship</w:t>
      </w:r>
      <w:r>
        <w:t>. Please refer to the Destination brochure on the website to gain a more detailed outline of some of our success stories.</w:t>
      </w:r>
    </w:p>
    <w:p w14:paraId="72EBA95F" w14:textId="7AE31D4A" w:rsidR="4BEC49E0" w:rsidRDefault="0039336F" w:rsidP="4BEC49E0">
      <w:r>
        <w:t xml:space="preserve">To facilitate student progression to an appropriate next steps destination, we have </w:t>
      </w:r>
      <w:r w:rsidR="00374574">
        <w:t xml:space="preserve">a </w:t>
      </w:r>
      <w:r>
        <w:t xml:space="preserve">focused </w:t>
      </w:r>
      <w:r w:rsidR="008E58F8">
        <w:t xml:space="preserve">careers </w:t>
      </w:r>
      <w:proofErr w:type="spellStart"/>
      <w:r>
        <w:t>programme</w:t>
      </w:r>
      <w:proofErr w:type="spellEnd"/>
      <w:r>
        <w:t xml:space="preserve">. Please see outline below. This </w:t>
      </w:r>
      <w:proofErr w:type="spellStart"/>
      <w:r>
        <w:t>progamme</w:t>
      </w:r>
      <w:proofErr w:type="spellEnd"/>
      <w:r>
        <w:t xml:space="preserve"> is supported by employer-led projects, and practical learning each term, to develop the knowledge and skills required by universities and employers alike.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3114"/>
        <w:gridCol w:w="1984"/>
        <w:gridCol w:w="2410"/>
        <w:gridCol w:w="5452"/>
      </w:tblGrid>
      <w:tr w:rsidR="4BEC49E0" w14:paraId="293AC857" w14:textId="77777777" w:rsidTr="00EF24D5">
        <w:trPr>
          <w:trHeight w:val="300"/>
        </w:trPr>
        <w:tc>
          <w:tcPr>
            <w:tcW w:w="3114" w:type="dxa"/>
            <w:shd w:val="clear" w:color="auto" w:fill="D9E2F3" w:themeFill="accent1" w:themeFillTint="33"/>
          </w:tcPr>
          <w:p w14:paraId="6EB30718" w14:textId="77777777" w:rsidR="664717AF" w:rsidRDefault="664717AF" w:rsidP="4BEC49E0">
            <w:pPr>
              <w:rPr>
                <w:b/>
              </w:rPr>
            </w:pPr>
            <w:r w:rsidRPr="0039336F">
              <w:rPr>
                <w:b/>
              </w:rPr>
              <w:t>Event</w:t>
            </w:r>
          </w:p>
          <w:p w14:paraId="41C3C2AC" w14:textId="2D4FEFE6" w:rsidR="0039336F" w:rsidRPr="0039336F" w:rsidRDefault="0039336F" w:rsidP="4BEC49E0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D9E2F3" w:themeFill="accent1" w:themeFillTint="33"/>
          </w:tcPr>
          <w:p w14:paraId="0C06E265" w14:textId="26AE263A" w:rsidR="664717AF" w:rsidRPr="0039336F" w:rsidRDefault="664717AF" w:rsidP="4BEC49E0">
            <w:pPr>
              <w:rPr>
                <w:b/>
              </w:rPr>
            </w:pPr>
            <w:r w:rsidRPr="0039336F">
              <w:rPr>
                <w:b/>
              </w:rPr>
              <w:t>Year group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0E0B713F" w14:textId="1BE30B6F" w:rsidR="664717AF" w:rsidRPr="0039336F" w:rsidRDefault="664717AF" w:rsidP="4BEC49E0">
            <w:pPr>
              <w:rPr>
                <w:b/>
              </w:rPr>
            </w:pPr>
            <w:r w:rsidRPr="0039336F">
              <w:rPr>
                <w:b/>
              </w:rPr>
              <w:t>Duration</w:t>
            </w:r>
          </w:p>
        </w:tc>
        <w:tc>
          <w:tcPr>
            <w:tcW w:w="5452" w:type="dxa"/>
            <w:shd w:val="clear" w:color="auto" w:fill="D9E2F3" w:themeFill="accent1" w:themeFillTint="33"/>
          </w:tcPr>
          <w:p w14:paraId="18A239C2" w14:textId="19DDD3C6" w:rsidR="664717AF" w:rsidRPr="0039336F" w:rsidRDefault="0039336F" w:rsidP="4BEC49E0">
            <w:pPr>
              <w:rPr>
                <w:b/>
              </w:rPr>
            </w:pPr>
            <w:r>
              <w:rPr>
                <w:b/>
              </w:rPr>
              <w:t>Detail</w:t>
            </w:r>
          </w:p>
        </w:tc>
      </w:tr>
      <w:tr w:rsidR="0039336F" w14:paraId="10F23699" w14:textId="77777777" w:rsidTr="00EF24D5">
        <w:trPr>
          <w:trHeight w:val="300"/>
        </w:trPr>
        <w:tc>
          <w:tcPr>
            <w:tcW w:w="3114" w:type="dxa"/>
          </w:tcPr>
          <w:p w14:paraId="5B70F9F2" w14:textId="77777777" w:rsidR="0039336F" w:rsidRDefault="0039336F" w:rsidP="0039336F">
            <w:r>
              <w:t>Employer Engagement:</w:t>
            </w:r>
          </w:p>
          <w:p w14:paraId="037A7DB1" w14:textId="18318DA9" w:rsidR="0039336F" w:rsidRDefault="0039336F" w:rsidP="0039336F">
            <w:r>
              <w:t>Ford Motor Company</w:t>
            </w:r>
          </w:p>
        </w:tc>
        <w:tc>
          <w:tcPr>
            <w:tcW w:w="1984" w:type="dxa"/>
          </w:tcPr>
          <w:p w14:paraId="0D34B07E" w14:textId="60BF902C" w:rsidR="0039336F" w:rsidRDefault="0039336F" w:rsidP="4BEC49E0">
            <w:r>
              <w:t>Yr10</w:t>
            </w:r>
          </w:p>
        </w:tc>
        <w:tc>
          <w:tcPr>
            <w:tcW w:w="2410" w:type="dxa"/>
          </w:tcPr>
          <w:p w14:paraId="5D6ECE2D" w14:textId="3705CB88" w:rsidR="0039336F" w:rsidRDefault="0039336F" w:rsidP="4BEC49E0">
            <w:r>
              <w:t>October – June</w:t>
            </w:r>
          </w:p>
          <w:p w14:paraId="3963864D" w14:textId="1E991F50" w:rsidR="0039336F" w:rsidRDefault="0039336F" w:rsidP="4BEC49E0"/>
        </w:tc>
        <w:tc>
          <w:tcPr>
            <w:tcW w:w="5452" w:type="dxa"/>
          </w:tcPr>
          <w:p w14:paraId="3A23F81D" w14:textId="70724C76" w:rsidR="0039336F" w:rsidRDefault="0039336F" w:rsidP="4BEC49E0">
            <w:r>
              <w:t>An employer led design and manuf</w:t>
            </w:r>
            <w:r w:rsidR="00062C92">
              <w:t>acture project. Introduces students to the world of work/employers</w:t>
            </w:r>
          </w:p>
        </w:tc>
      </w:tr>
      <w:tr w:rsidR="4BEC49E0" w14:paraId="26E13502" w14:textId="77777777" w:rsidTr="00EF24D5">
        <w:trPr>
          <w:trHeight w:val="300"/>
        </w:trPr>
        <w:tc>
          <w:tcPr>
            <w:tcW w:w="3114" w:type="dxa"/>
          </w:tcPr>
          <w:p w14:paraId="78DA9FCA" w14:textId="77777777" w:rsidR="0039336F" w:rsidRDefault="664717AF" w:rsidP="4BEC49E0">
            <w:r>
              <w:t xml:space="preserve">Careers </w:t>
            </w:r>
            <w:r w:rsidR="0039336F">
              <w:t>session</w:t>
            </w:r>
          </w:p>
          <w:p w14:paraId="6F46A3F4" w14:textId="76C190A7" w:rsidR="664717AF" w:rsidRDefault="0039336F" w:rsidP="4BEC49E0">
            <w:r>
              <w:t>RHSE lessons</w:t>
            </w:r>
          </w:p>
        </w:tc>
        <w:tc>
          <w:tcPr>
            <w:tcW w:w="1984" w:type="dxa"/>
          </w:tcPr>
          <w:p w14:paraId="0A5581FC" w14:textId="06342E85" w:rsidR="664717AF" w:rsidRDefault="0039336F" w:rsidP="4BEC49E0">
            <w:r>
              <w:t>Yr</w:t>
            </w:r>
            <w:r w:rsidR="664717AF">
              <w:t xml:space="preserve">10, </w:t>
            </w:r>
            <w:r>
              <w:t>Yr</w:t>
            </w:r>
            <w:r w:rsidR="664717AF">
              <w:t xml:space="preserve">11, </w:t>
            </w:r>
            <w:r>
              <w:t>Yr</w:t>
            </w:r>
            <w:r w:rsidR="664717AF">
              <w:t>12</w:t>
            </w:r>
          </w:p>
        </w:tc>
        <w:tc>
          <w:tcPr>
            <w:tcW w:w="2410" w:type="dxa"/>
          </w:tcPr>
          <w:p w14:paraId="7076602A" w14:textId="4759D4FE" w:rsidR="0039336F" w:rsidRDefault="01B00A4E" w:rsidP="4BEC49E0">
            <w:r>
              <w:t>One lesson per week</w:t>
            </w:r>
            <w:r w:rsidR="0039336F">
              <w:t>, over one term</w:t>
            </w:r>
          </w:p>
        </w:tc>
        <w:tc>
          <w:tcPr>
            <w:tcW w:w="5452" w:type="dxa"/>
          </w:tcPr>
          <w:p w14:paraId="595BB747" w14:textId="67473AF7" w:rsidR="01B00A4E" w:rsidRDefault="01B00A4E" w:rsidP="4BEC49E0">
            <w:r>
              <w:t>C</w:t>
            </w:r>
            <w:r w:rsidR="664717AF">
              <w:t xml:space="preserve">areers and </w:t>
            </w:r>
            <w:r w:rsidR="54B98240">
              <w:t>Destination planning</w:t>
            </w:r>
          </w:p>
        </w:tc>
      </w:tr>
      <w:tr w:rsidR="00062C92" w14:paraId="6B1D6EE1" w14:textId="77777777" w:rsidTr="00EF24D5">
        <w:trPr>
          <w:trHeight w:val="300"/>
        </w:trPr>
        <w:tc>
          <w:tcPr>
            <w:tcW w:w="3114" w:type="dxa"/>
          </w:tcPr>
          <w:p w14:paraId="30B447CB" w14:textId="77777777" w:rsidR="00062C92" w:rsidRDefault="00062C92" w:rsidP="4BEC49E0">
            <w:r>
              <w:t>Work Experience</w:t>
            </w:r>
          </w:p>
          <w:p w14:paraId="68863F39" w14:textId="74991B2B" w:rsidR="00062C92" w:rsidRDefault="00062C92" w:rsidP="4BEC49E0"/>
        </w:tc>
        <w:tc>
          <w:tcPr>
            <w:tcW w:w="1984" w:type="dxa"/>
          </w:tcPr>
          <w:p w14:paraId="01345A0F" w14:textId="19C89C81" w:rsidR="00062C92" w:rsidRDefault="00062C92" w:rsidP="4BEC49E0">
            <w:r>
              <w:t>Yr11</w:t>
            </w:r>
          </w:p>
        </w:tc>
        <w:tc>
          <w:tcPr>
            <w:tcW w:w="2410" w:type="dxa"/>
          </w:tcPr>
          <w:p w14:paraId="438BBD4A" w14:textId="351492E4" w:rsidR="00062C92" w:rsidRDefault="00062C92" w:rsidP="4BEC49E0">
            <w:r>
              <w:t>One-week placement</w:t>
            </w:r>
          </w:p>
          <w:p w14:paraId="506F9796" w14:textId="206E265E" w:rsidR="00062C92" w:rsidRDefault="00D92D70" w:rsidP="4BEC49E0">
            <w:r>
              <w:t>Spring term 2025</w:t>
            </w:r>
          </w:p>
        </w:tc>
        <w:tc>
          <w:tcPr>
            <w:tcW w:w="5452" w:type="dxa"/>
          </w:tcPr>
          <w:p w14:paraId="641740CA" w14:textId="42BF647B" w:rsidR="00062C92" w:rsidRDefault="00062C92" w:rsidP="4BEC49E0">
            <w:r>
              <w:t>Work experience opportunity with West Ham United Football club</w:t>
            </w:r>
          </w:p>
        </w:tc>
      </w:tr>
      <w:tr w:rsidR="00062C92" w14:paraId="30CADA6C" w14:textId="77777777" w:rsidTr="00EF24D5">
        <w:trPr>
          <w:trHeight w:val="300"/>
        </w:trPr>
        <w:tc>
          <w:tcPr>
            <w:tcW w:w="3114" w:type="dxa"/>
          </w:tcPr>
          <w:p w14:paraId="3B043FE8" w14:textId="67545533" w:rsidR="00062C92" w:rsidRDefault="00062C92" w:rsidP="4BEC49E0">
            <w:r>
              <w:t>Future Destinations Evening</w:t>
            </w:r>
          </w:p>
        </w:tc>
        <w:tc>
          <w:tcPr>
            <w:tcW w:w="1984" w:type="dxa"/>
          </w:tcPr>
          <w:p w14:paraId="2D148192" w14:textId="3B6CC465" w:rsidR="00062C92" w:rsidRDefault="00A543AF" w:rsidP="4BEC49E0">
            <w:r>
              <w:t>Yr11, Yr12, Yr13</w:t>
            </w:r>
          </w:p>
        </w:tc>
        <w:tc>
          <w:tcPr>
            <w:tcW w:w="2410" w:type="dxa"/>
          </w:tcPr>
          <w:p w14:paraId="4D26BF12" w14:textId="77777777" w:rsidR="00062C92" w:rsidRDefault="00062C92" w:rsidP="4BEC49E0">
            <w:r>
              <w:t>November</w:t>
            </w:r>
          </w:p>
          <w:p w14:paraId="06BB9329" w14:textId="3C2A5FE5" w:rsidR="00A543AF" w:rsidRDefault="00A543AF" w:rsidP="4BEC49E0">
            <w:r>
              <w:t>An evening</w:t>
            </w:r>
          </w:p>
        </w:tc>
        <w:tc>
          <w:tcPr>
            <w:tcW w:w="5452" w:type="dxa"/>
          </w:tcPr>
          <w:p w14:paraId="65094C8E" w14:textId="5EC31913" w:rsidR="00062C92" w:rsidRDefault="00062C92" w:rsidP="4BEC49E0">
            <w:r>
              <w:t>Wide ra</w:t>
            </w:r>
            <w:r w:rsidR="00A543AF">
              <w:t>nge of employers and universities host stands informing students of possible Future Destinations, and how to apply.</w:t>
            </w:r>
          </w:p>
        </w:tc>
      </w:tr>
      <w:tr w:rsidR="001E7BBD" w14:paraId="3F81AE2D" w14:textId="77777777" w:rsidTr="00EF24D5">
        <w:trPr>
          <w:trHeight w:val="300"/>
        </w:trPr>
        <w:tc>
          <w:tcPr>
            <w:tcW w:w="3114" w:type="dxa"/>
          </w:tcPr>
          <w:p w14:paraId="75062B7C" w14:textId="6D33F89D" w:rsidR="001E7BBD" w:rsidRDefault="001E7BBD" w:rsidP="00A543AF">
            <w:r>
              <w:t>National Apprenticeship Week</w:t>
            </w:r>
          </w:p>
        </w:tc>
        <w:tc>
          <w:tcPr>
            <w:tcW w:w="1984" w:type="dxa"/>
          </w:tcPr>
          <w:p w14:paraId="08BF2771" w14:textId="474F69BA" w:rsidR="001E7BBD" w:rsidRDefault="001E7BBD" w:rsidP="4BEC49E0">
            <w:r>
              <w:t>Yr12, Yr13</w:t>
            </w:r>
          </w:p>
        </w:tc>
        <w:tc>
          <w:tcPr>
            <w:tcW w:w="2410" w:type="dxa"/>
          </w:tcPr>
          <w:p w14:paraId="2858C30A" w14:textId="327FA2C5" w:rsidR="001E7BBD" w:rsidRDefault="001E7BBD" w:rsidP="4BEC49E0">
            <w:r>
              <w:t>February</w:t>
            </w:r>
          </w:p>
        </w:tc>
        <w:tc>
          <w:tcPr>
            <w:tcW w:w="5452" w:type="dxa"/>
          </w:tcPr>
          <w:p w14:paraId="75FD575B" w14:textId="77777777" w:rsidR="001E7BBD" w:rsidRDefault="001E7BBD" w:rsidP="4BEC49E0">
            <w:r>
              <w:t>Employers Q&amp;A session with students</w:t>
            </w:r>
          </w:p>
          <w:p w14:paraId="703F17D1" w14:textId="3A0AF9CC" w:rsidR="001E7BBD" w:rsidRDefault="001E7BBD" w:rsidP="4BEC49E0">
            <w:r>
              <w:t>Modelled on Question Time.</w:t>
            </w:r>
          </w:p>
        </w:tc>
      </w:tr>
      <w:tr w:rsidR="00A543AF" w14:paraId="17AD9774" w14:textId="77777777" w:rsidTr="00EF24D5">
        <w:trPr>
          <w:trHeight w:val="300"/>
        </w:trPr>
        <w:tc>
          <w:tcPr>
            <w:tcW w:w="3114" w:type="dxa"/>
          </w:tcPr>
          <w:p w14:paraId="1DE557F1" w14:textId="77777777" w:rsidR="00A543AF" w:rsidRDefault="00A543AF" w:rsidP="00A543AF">
            <w:r>
              <w:t>Destinations Week</w:t>
            </w:r>
          </w:p>
          <w:p w14:paraId="4B76F0F5" w14:textId="77777777" w:rsidR="00A543AF" w:rsidRDefault="00A543AF" w:rsidP="4BEC49E0"/>
        </w:tc>
        <w:tc>
          <w:tcPr>
            <w:tcW w:w="1984" w:type="dxa"/>
          </w:tcPr>
          <w:p w14:paraId="2D06D560" w14:textId="6C5B4A7B" w:rsidR="00A543AF" w:rsidRDefault="00A543AF" w:rsidP="4BEC49E0">
            <w:r>
              <w:t>Yr12</w:t>
            </w:r>
          </w:p>
        </w:tc>
        <w:tc>
          <w:tcPr>
            <w:tcW w:w="2410" w:type="dxa"/>
          </w:tcPr>
          <w:p w14:paraId="78D41A51" w14:textId="77777777" w:rsidR="00A543AF" w:rsidRDefault="00A543AF" w:rsidP="4BEC49E0">
            <w:r>
              <w:t>One week</w:t>
            </w:r>
          </w:p>
          <w:p w14:paraId="7A348CB4" w14:textId="05285F13" w:rsidR="00A543AF" w:rsidRDefault="00A543AF" w:rsidP="4BEC49E0">
            <w:r>
              <w:t>Summer Term</w:t>
            </w:r>
          </w:p>
        </w:tc>
        <w:tc>
          <w:tcPr>
            <w:tcW w:w="5452" w:type="dxa"/>
          </w:tcPr>
          <w:p w14:paraId="4D06C482" w14:textId="53556901" w:rsidR="00A543AF" w:rsidRDefault="00A543AF" w:rsidP="4BEC49E0">
            <w:r>
              <w:t>Introduction to UCAS and start of the UCAS process. Supported by sponsor UCL.</w:t>
            </w:r>
          </w:p>
        </w:tc>
      </w:tr>
      <w:tr w:rsidR="4BEC49E0" w14:paraId="27BEF551" w14:textId="77777777" w:rsidTr="00EF24D5">
        <w:trPr>
          <w:trHeight w:val="300"/>
        </w:trPr>
        <w:tc>
          <w:tcPr>
            <w:tcW w:w="3114" w:type="dxa"/>
          </w:tcPr>
          <w:p w14:paraId="23411515" w14:textId="56766174" w:rsidR="664717AF" w:rsidRDefault="0039336F" w:rsidP="4BEC49E0">
            <w:r>
              <w:t>Destination lesson</w:t>
            </w:r>
          </w:p>
        </w:tc>
        <w:tc>
          <w:tcPr>
            <w:tcW w:w="1984" w:type="dxa"/>
          </w:tcPr>
          <w:p w14:paraId="4721557A" w14:textId="73E68CCD" w:rsidR="664717AF" w:rsidRDefault="0039336F" w:rsidP="4BEC49E0">
            <w:r>
              <w:t>Yr</w:t>
            </w:r>
            <w:r w:rsidR="664717AF">
              <w:t>13</w:t>
            </w:r>
          </w:p>
        </w:tc>
        <w:tc>
          <w:tcPr>
            <w:tcW w:w="2410" w:type="dxa"/>
          </w:tcPr>
          <w:p w14:paraId="154B17E3" w14:textId="699DFD44" w:rsidR="512D49A8" w:rsidRDefault="512D49A8" w:rsidP="4BEC49E0">
            <w:r>
              <w:t>One lesson per week for term 1,2,3 and 4</w:t>
            </w:r>
          </w:p>
        </w:tc>
        <w:tc>
          <w:tcPr>
            <w:tcW w:w="5452" w:type="dxa"/>
          </w:tcPr>
          <w:p w14:paraId="6B126146" w14:textId="77777777" w:rsidR="3E1A92E9" w:rsidRDefault="3E1A92E9" w:rsidP="4BEC49E0">
            <w:r>
              <w:t>Completion of UCAS</w:t>
            </w:r>
            <w:r w:rsidR="0039336F">
              <w:t xml:space="preserve"> application</w:t>
            </w:r>
          </w:p>
          <w:p w14:paraId="30C1ACC5" w14:textId="64C5D769" w:rsidR="0039336F" w:rsidRDefault="0039336F" w:rsidP="4BEC49E0">
            <w:r>
              <w:t>Completion of Personal Statement</w:t>
            </w:r>
          </w:p>
        </w:tc>
      </w:tr>
      <w:tr w:rsidR="4BEC49E0" w14:paraId="43D9CB37" w14:textId="77777777" w:rsidTr="00EF24D5">
        <w:trPr>
          <w:trHeight w:val="300"/>
        </w:trPr>
        <w:tc>
          <w:tcPr>
            <w:tcW w:w="3114" w:type="dxa"/>
          </w:tcPr>
          <w:p w14:paraId="02703E44" w14:textId="5DBEEDCB" w:rsidR="2412996C" w:rsidRDefault="001E7BBD" w:rsidP="4BEC49E0">
            <w:r>
              <w:t>Industry Placement</w:t>
            </w:r>
          </w:p>
        </w:tc>
        <w:tc>
          <w:tcPr>
            <w:tcW w:w="1984" w:type="dxa"/>
          </w:tcPr>
          <w:p w14:paraId="1400DC5B" w14:textId="16A3F8B0" w:rsidR="2412996C" w:rsidRDefault="001E7BBD" w:rsidP="4BEC49E0">
            <w:r>
              <w:t>Yr</w:t>
            </w:r>
            <w:r w:rsidR="2412996C">
              <w:t>13</w:t>
            </w:r>
          </w:p>
        </w:tc>
        <w:tc>
          <w:tcPr>
            <w:tcW w:w="2410" w:type="dxa"/>
          </w:tcPr>
          <w:p w14:paraId="1FF7BB54" w14:textId="17046D5C" w:rsidR="2412996C" w:rsidRDefault="2412996C" w:rsidP="4BEC49E0">
            <w:r>
              <w:t>2-week</w:t>
            </w:r>
            <w:r w:rsidR="00D92D70">
              <w:t xml:space="preserve"> summer term</w:t>
            </w:r>
          </w:p>
        </w:tc>
        <w:tc>
          <w:tcPr>
            <w:tcW w:w="5452" w:type="dxa"/>
          </w:tcPr>
          <w:p w14:paraId="4D071931" w14:textId="4722C144" w:rsidR="2412996C" w:rsidRDefault="2412996C" w:rsidP="4BEC49E0">
            <w:r>
              <w:t>Students sel</w:t>
            </w:r>
            <w:r w:rsidR="001E7BBD">
              <w:t>ected through an employer-led project</w:t>
            </w:r>
            <w:r>
              <w:t xml:space="preserve"> to compete an industry placement</w:t>
            </w:r>
          </w:p>
        </w:tc>
      </w:tr>
      <w:tr w:rsidR="4BEC49E0" w14:paraId="21A8CD20" w14:textId="77777777" w:rsidTr="00EF24D5">
        <w:trPr>
          <w:trHeight w:val="300"/>
        </w:trPr>
        <w:tc>
          <w:tcPr>
            <w:tcW w:w="3114" w:type="dxa"/>
          </w:tcPr>
          <w:p w14:paraId="5216D515" w14:textId="20AACF4F" w:rsidR="5512EE2D" w:rsidRDefault="5512EE2D" w:rsidP="4BEC49E0">
            <w:r>
              <w:t>Careers Guidance</w:t>
            </w:r>
          </w:p>
        </w:tc>
        <w:tc>
          <w:tcPr>
            <w:tcW w:w="1984" w:type="dxa"/>
          </w:tcPr>
          <w:p w14:paraId="6600BB91" w14:textId="77777777" w:rsidR="5512EE2D" w:rsidRDefault="001E7BBD" w:rsidP="4BEC49E0">
            <w:r>
              <w:t>Yr11, Yr13</w:t>
            </w:r>
          </w:p>
          <w:p w14:paraId="74E446F9" w14:textId="5C197EC4" w:rsidR="001E7BBD" w:rsidRDefault="001E7BBD" w:rsidP="4BEC49E0">
            <w:r>
              <w:t>Select Level 2 Yr12</w:t>
            </w:r>
          </w:p>
        </w:tc>
        <w:tc>
          <w:tcPr>
            <w:tcW w:w="2410" w:type="dxa"/>
          </w:tcPr>
          <w:p w14:paraId="615A771F" w14:textId="3A174124" w:rsidR="5512EE2D" w:rsidRDefault="5512EE2D" w:rsidP="4BEC49E0">
            <w:r>
              <w:t>Spring Term</w:t>
            </w:r>
          </w:p>
        </w:tc>
        <w:tc>
          <w:tcPr>
            <w:tcW w:w="5452" w:type="dxa"/>
          </w:tcPr>
          <w:p w14:paraId="50F3DE73" w14:textId="33AC5CAD" w:rsidR="5512EE2D" w:rsidRDefault="001E7BBD" w:rsidP="4BEC49E0">
            <w:r>
              <w:t>External provider; Conne</w:t>
            </w:r>
            <w:r w:rsidR="00D92D70">
              <w:t>ct</w:t>
            </w:r>
            <w:r>
              <w:t>ions</w:t>
            </w:r>
          </w:p>
          <w:p w14:paraId="7AD87361" w14:textId="704F49D9" w:rsidR="5512EE2D" w:rsidRDefault="5512EE2D" w:rsidP="4BEC49E0">
            <w:r>
              <w:t>Bespoke guidance with identified students</w:t>
            </w:r>
          </w:p>
        </w:tc>
      </w:tr>
      <w:tr w:rsidR="001E7BBD" w14:paraId="71A1FD17" w14:textId="77777777" w:rsidTr="00EF24D5">
        <w:trPr>
          <w:trHeight w:val="300"/>
        </w:trPr>
        <w:tc>
          <w:tcPr>
            <w:tcW w:w="3114" w:type="dxa"/>
          </w:tcPr>
          <w:p w14:paraId="00BBCAAC" w14:textId="4EA1EDB6" w:rsidR="001E7BBD" w:rsidRDefault="001E7BBD" w:rsidP="4BEC49E0">
            <w:r>
              <w:t>Completing a successful apprenticeship application</w:t>
            </w:r>
          </w:p>
        </w:tc>
        <w:tc>
          <w:tcPr>
            <w:tcW w:w="1984" w:type="dxa"/>
          </w:tcPr>
          <w:p w14:paraId="3F5ACDB9" w14:textId="28D3D5EA" w:rsidR="001E7BBD" w:rsidRDefault="001E7BBD" w:rsidP="4BEC49E0">
            <w:r>
              <w:t>Yr12, Yr13</w:t>
            </w:r>
          </w:p>
        </w:tc>
        <w:tc>
          <w:tcPr>
            <w:tcW w:w="2410" w:type="dxa"/>
          </w:tcPr>
          <w:p w14:paraId="1993169D" w14:textId="09FC04B0" w:rsidR="001E7BBD" w:rsidRDefault="001E7BBD" w:rsidP="4BEC49E0">
            <w:r>
              <w:t>Throughout the year</w:t>
            </w:r>
          </w:p>
        </w:tc>
        <w:tc>
          <w:tcPr>
            <w:tcW w:w="5452" w:type="dxa"/>
          </w:tcPr>
          <w:p w14:paraId="3AD75343" w14:textId="156AEBFC" w:rsidR="001E7BBD" w:rsidRDefault="001E7BBD" w:rsidP="4BEC49E0">
            <w:r>
              <w:t xml:space="preserve">External employers: Delivering assemblies/presentations and workshop. </w:t>
            </w:r>
            <w:proofErr w:type="spellStart"/>
            <w:r>
              <w:t>Mulalley</w:t>
            </w:r>
            <w:proofErr w:type="spellEnd"/>
            <w:r>
              <w:t>, Ford, NTT</w:t>
            </w:r>
          </w:p>
        </w:tc>
      </w:tr>
      <w:tr w:rsidR="00D92D70" w14:paraId="23103B81" w14:textId="77777777" w:rsidTr="00EF24D5">
        <w:trPr>
          <w:trHeight w:val="300"/>
        </w:trPr>
        <w:tc>
          <w:tcPr>
            <w:tcW w:w="3114" w:type="dxa"/>
          </w:tcPr>
          <w:p w14:paraId="5973D53A" w14:textId="169DDF39" w:rsidR="00D92D70" w:rsidRDefault="00D92D70" w:rsidP="4BEC49E0">
            <w:r>
              <w:t>UCAS University Application</w:t>
            </w:r>
          </w:p>
        </w:tc>
        <w:tc>
          <w:tcPr>
            <w:tcW w:w="1984" w:type="dxa"/>
          </w:tcPr>
          <w:p w14:paraId="4BC7EA8F" w14:textId="5004D8E7" w:rsidR="00D92D70" w:rsidRDefault="00D92D70" w:rsidP="4BEC49E0">
            <w:r>
              <w:t>Yr12,</w:t>
            </w:r>
            <w:r>
              <w:t xml:space="preserve"> </w:t>
            </w:r>
            <w:r>
              <w:t>Yr13</w:t>
            </w:r>
          </w:p>
        </w:tc>
        <w:tc>
          <w:tcPr>
            <w:tcW w:w="2410" w:type="dxa"/>
          </w:tcPr>
          <w:p w14:paraId="4F7E5DA5" w14:textId="2CAB956B" w:rsidR="00D92D70" w:rsidRDefault="00D92D70" w:rsidP="4BEC49E0">
            <w:r>
              <w:t>Throughout the year</w:t>
            </w:r>
          </w:p>
        </w:tc>
        <w:tc>
          <w:tcPr>
            <w:tcW w:w="5452" w:type="dxa"/>
          </w:tcPr>
          <w:p w14:paraId="3DDB59C9" w14:textId="7B498F21" w:rsidR="00D92D70" w:rsidRDefault="00D92D70" w:rsidP="4BEC49E0">
            <w:r>
              <w:t>Delivering assemblies/presentations and workshop. Destination Lessons</w:t>
            </w:r>
          </w:p>
        </w:tc>
      </w:tr>
    </w:tbl>
    <w:p w14:paraId="4C24C243" w14:textId="77777777" w:rsidR="00D92D70" w:rsidRDefault="00D92D70" w:rsidP="00D92D70"/>
    <w:sectPr w:rsidR="00D92D70" w:rsidSect="00D92D70">
      <w:headerReference w:type="default" r:id="rId6"/>
      <w:pgSz w:w="15840" w:h="12240" w:orient="landscape"/>
      <w:pgMar w:top="1440" w:right="1134" w:bottom="4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3C78F" w14:textId="77777777" w:rsidR="009F0415" w:rsidRDefault="009F0415" w:rsidP="0039336F">
      <w:pPr>
        <w:spacing w:after="0" w:line="240" w:lineRule="auto"/>
      </w:pPr>
      <w:r>
        <w:separator/>
      </w:r>
    </w:p>
  </w:endnote>
  <w:endnote w:type="continuationSeparator" w:id="0">
    <w:p w14:paraId="5FF24120" w14:textId="77777777" w:rsidR="009F0415" w:rsidRDefault="009F0415" w:rsidP="0039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B1231" w14:textId="77777777" w:rsidR="009F0415" w:rsidRDefault="009F0415" w:rsidP="0039336F">
      <w:pPr>
        <w:spacing w:after="0" w:line="240" w:lineRule="auto"/>
      </w:pPr>
      <w:r>
        <w:separator/>
      </w:r>
    </w:p>
  </w:footnote>
  <w:footnote w:type="continuationSeparator" w:id="0">
    <w:p w14:paraId="6F003D6E" w14:textId="77777777" w:rsidR="009F0415" w:rsidRDefault="009F0415" w:rsidP="0039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E5A9" w14:textId="77777777" w:rsidR="0039336F" w:rsidRDefault="0039336F" w:rsidP="0039336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E2F3" w:themeFill="accent1" w:themeFillTint="33"/>
      <w:tabs>
        <w:tab w:val="center" w:pos="6480"/>
      </w:tabs>
      <w:jc w:val="center"/>
      <w:rPr>
        <w:b/>
        <w:sz w:val="28"/>
        <w:szCs w:val="28"/>
      </w:rPr>
    </w:pPr>
  </w:p>
  <w:p w14:paraId="2B6B1726" w14:textId="3836D0A4" w:rsidR="0039336F" w:rsidRDefault="0039336F" w:rsidP="0039336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E2F3" w:themeFill="accent1" w:themeFillTint="33"/>
      <w:tabs>
        <w:tab w:val="center" w:pos="6480"/>
      </w:tabs>
      <w:jc w:val="center"/>
      <w:rPr>
        <w:b/>
        <w:sz w:val="28"/>
        <w:szCs w:val="28"/>
      </w:rPr>
    </w:pPr>
    <w:r w:rsidRPr="0039336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5B9209D6" wp14:editId="6971FAF8">
          <wp:simplePos x="0" y="0"/>
          <wp:positionH relativeFrom="margin">
            <wp:align>right</wp:align>
          </wp:positionH>
          <wp:positionV relativeFrom="paragraph">
            <wp:posOffset>-307730</wp:posOffset>
          </wp:positionV>
          <wp:extent cx="2454275" cy="829945"/>
          <wp:effectExtent l="0" t="0" r="3175" b="8255"/>
          <wp:wrapTight wrapText="bothSides">
            <wp:wrapPolygon edited="0">
              <wp:start x="0" y="0"/>
              <wp:lineTo x="0" y="21319"/>
              <wp:lineTo x="21460" y="21319"/>
              <wp:lineTo x="214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275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7534">
      <w:rPr>
        <w:b/>
        <w:sz w:val="28"/>
        <w:szCs w:val="28"/>
      </w:rPr>
      <w:t xml:space="preserve">Careers </w:t>
    </w:r>
    <w:proofErr w:type="spellStart"/>
    <w:r w:rsidR="00A27534">
      <w:rPr>
        <w:b/>
        <w:sz w:val="28"/>
        <w:szCs w:val="28"/>
      </w:rPr>
      <w:t>Programme</w:t>
    </w:r>
    <w:proofErr w:type="spellEnd"/>
    <w:r w:rsidRPr="0039336F">
      <w:rPr>
        <w:b/>
        <w:sz w:val="28"/>
        <w:szCs w:val="28"/>
      </w:rPr>
      <w:t xml:space="preserve"> at Brook 6</w:t>
    </w:r>
    <w:r w:rsidRPr="0039336F">
      <w:rPr>
        <w:b/>
        <w:sz w:val="28"/>
        <w:szCs w:val="28"/>
        <w:vertAlign w:val="superscript"/>
      </w:rPr>
      <w:t>th</w:t>
    </w:r>
    <w:r w:rsidRPr="0039336F">
      <w:rPr>
        <w:b/>
        <w:sz w:val="28"/>
        <w:szCs w:val="28"/>
      </w:rPr>
      <w:t xml:space="preserve"> Form and Academy</w:t>
    </w:r>
  </w:p>
  <w:p w14:paraId="504CB308" w14:textId="77777777" w:rsidR="0039336F" w:rsidRPr="0039336F" w:rsidRDefault="0039336F" w:rsidP="0039336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E2F3" w:themeFill="accent1" w:themeFillTint="33"/>
      <w:tabs>
        <w:tab w:val="center" w:pos="6480"/>
      </w:tabs>
      <w:jc w:val="center"/>
      <w:rPr>
        <w:b/>
        <w:sz w:val="28"/>
        <w:szCs w:val="28"/>
      </w:rPr>
    </w:pPr>
  </w:p>
  <w:p w14:paraId="790DBA17" w14:textId="6F65B203" w:rsidR="0039336F" w:rsidRPr="0039336F" w:rsidRDefault="0039336F" w:rsidP="0039336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SuEWwZBd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AA480D"/>
    <w:rsid w:val="00046B46"/>
    <w:rsid w:val="00062C92"/>
    <w:rsid w:val="001E7BBD"/>
    <w:rsid w:val="00374574"/>
    <w:rsid w:val="0039336F"/>
    <w:rsid w:val="005D059C"/>
    <w:rsid w:val="006B66DC"/>
    <w:rsid w:val="008E58F8"/>
    <w:rsid w:val="009F0415"/>
    <w:rsid w:val="00A27534"/>
    <w:rsid w:val="00A543AF"/>
    <w:rsid w:val="00BD4D82"/>
    <w:rsid w:val="00D92D70"/>
    <w:rsid w:val="00EF24D5"/>
    <w:rsid w:val="014CA28E"/>
    <w:rsid w:val="01B00A4E"/>
    <w:rsid w:val="01F51C30"/>
    <w:rsid w:val="0237A5AC"/>
    <w:rsid w:val="028BF65F"/>
    <w:rsid w:val="0427C6C0"/>
    <w:rsid w:val="075F6782"/>
    <w:rsid w:val="076ED8B9"/>
    <w:rsid w:val="09D69806"/>
    <w:rsid w:val="0D0E38C8"/>
    <w:rsid w:val="0E6D3652"/>
    <w:rsid w:val="100906B3"/>
    <w:rsid w:val="108BA4BA"/>
    <w:rsid w:val="12AA07AF"/>
    <w:rsid w:val="159EA407"/>
    <w:rsid w:val="15E1A871"/>
    <w:rsid w:val="16149D0F"/>
    <w:rsid w:val="162E3713"/>
    <w:rsid w:val="176C0B2A"/>
    <w:rsid w:val="180D5264"/>
    <w:rsid w:val="1EBF6766"/>
    <w:rsid w:val="20F9C513"/>
    <w:rsid w:val="213697EA"/>
    <w:rsid w:val="2327C082"/>
    <w:rsid w:val="2412996C"/>
    <w:rsid w:val="243165D5"/>
    <w:rsid w:val="286EFCBF"/>
    <w:rsid w:val="2941A9CF"/>
    <w:rsid w:val="31FBF11B"/>
    <w:rsid w:val="34E26981"/>
    <w:rsid w:val="3914D0FA"/>
    <w:rsid w:val="3ABEB8A9"/>
    <w:rsid w:val="3BE89C23"/>
    <w:rsid w:val="3E1A92E9"/>
    <w:rsid w:val="3FCEFCA3"/>
    <w:rsid w:val="463D789A"/>
    <w:rsid w:val="4797D1C2"/>
    <w:rsid w:val="4BEC49E0"/>
    <w:rsid w:val="508B359D"/>
    <w:rsid w:val="512D49A8"/>
    <w:rsid w:val="54B98240"/>
    <w:rsid w:val="5512EE2D"/>
    <w:rsid w:val="55371C2F"/>
    <w:rsid w:val="55932C26"/>
    <w:rsid w:val="5B798491"/>
    <w:rsid w:val="61851434"/>
    <w:rsid w:val="6320E495"/>
    <w:rsid w:val="63AA480D"/>
    <w:rsid w:val="664717AF"/>
    <w:rsid w:val="69D3DFE7"/>
    <w:rsid w:val="6CFC781C"/>
    <w:rsid w:val="6DA326FE"/>
    <w:rsid w:val="707DDC20"/>
    <w:rsid w:val="7A64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480D"/>
  <w15:chartTrackingRefBased/>
  <w15:docId w15:val="{28B8A78B-69D7-4BAA-9248-71DCE079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93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36F"/>
  </w:style>
  <w:style w:type="paragraph" w:styleId="Footer">
    <w:name w:val="footer"/>
    <w:basedOn w:val="Normal"/>
    <w:link w:val="FooterChar"/>
    <w:uiPriority w:val="99"/>
    <w:unhideWhenUsed/>
    <w:rsid w:val="00393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Bannister</dc:creator>
  <cp:keywords/>
  <dc:description/>
  <cp:lastModifiedBy>Miloud Berrouaine</cp:lastModifiedBy>
  <cp:revision>2</cp:revision>
  <dcterms:created xsi:type="dcterms:W3CDTF">2024-11-18T18:43:00Z</dcterms:created>
  <dcterms:modified xsi:type="dcterms:W3CDTF">2024-11-18T18:43:00Z</dcterms:modified>
</cp:coreProperties>
</file>